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224" w:lineRule="auto"/>
        <w:ind w:left="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6"/>
          <w:sz w:val="32"/>
          <w:szCs w:val="32"/>
        </w:rPr>
        <w:t>附件2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43" w:line="219" w:lineRule="auto"/>
        <w:ind w:left="139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5"/>
          <w:sz w:val="44"/>
          <w:szCs w:val="44"/>
        </w:rPr>
        <w:t>南京市中小学师生科技创新大赛</w:t>
      </w:r>
    </w:p>
    <w:p>
      <w:pPr>
        <w:spacing w:before="128" w:line="219" w:lineRule="auto"/>
        <w:ind w:left="71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3"/>
          <w:sz w:val="44"/>
          <w:szCs w:val="44"/>
        </w:rPr>
        <w:t>科技辅导员科技教育创新成果竞赛规则</w:t>
      </w:r>
    </w:p>
    <w:p>
      <w:pPr>
        <w:spacing w:before="198" w:line="225" w:lineRule="auto"/>
        <w:ind w:left="3469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4"/>
          <w:sz w:val="32"/>
          <w:szCs w:val="32"/>
        </w:rPr>
        <w:t>(2022年修订)</w:t>
      </w:r>
    </w:p>
    <w:p>
      <w:pPr>
        <w:spacing w:line="306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104" w:line="299" w:lineRule="auto"/>
        <w:ind w:right="33" w:firstLine="61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本规则依据《全国青少年科技创新大赛规则》制定，适用于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南京市中小学师生科技创新大赛科技辅导员科技教育创新成果竞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赛参赛者申报和竞赛评审工作。</w:t>
      </w:r>
    </w:p>
    <w:p>
      <w:pPr>
        <w:spacing w:before="156" w:line="267" w:lineRule="auto"/>
        <w:ind w:left="753" w:right="4696" w:hanging="129"/>
        <w:rPr>
          <w:rFonts w:ascii="楷体" w:hAnsi="楷体" w:eastAsia="楷体" w:cs="楷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0"/>
          <w:sz w:val="32"/>
          <w:szCs w:val="32"/>
        </w:rPr>
        <w:t>一、参赛人员和作品要求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ascii="楷体" w:hAnsi="楷体" w:eastAsia="楷体" w:cs="楷体"/>
          <w:b/>
          <w:bCs/>
          <w:spacing w:val="19"/>
          <w:sz w:val="32"/>
          <w:szCs w:val="32"/>
        </w:rPr>
        <w:t>(一)参赛人员</w:t>
      </w:r>
    </w:p>
    <w:p>
      <w:pPr>
        <w:spacing w:before="108" w:line="221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1.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参赛人员为中小学校科学教师、科技辅导员</w:t>
      </w:r>
      <w:r>
        <w:rPr>
          <w:rFonts w:ascii="仿宋" w:hAnsi="仿宋" w:eastAsia="仿宋" w:cs="仿宋"/>
          <w:spacing w:val="-12"/>
          <w:sz w:val="32"/>
          <w:szCs w:val="32"/>
        </w:rPr>
        <w:t>，各级教育研</w:t>
      </w:r>
    </w:p>
    <w:p>
      <w:pPr>
        <w:spacing w:before="136" w:line="521" w:lineRule="exac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14"/>
          <w:sz w:val="32"/>
          <w:szCs w:val="32"/>
        </w:rPr>
        <w:t>究机构、校外科技教育机构和活动场所的科技教</w:t>
      </w:r>
      <w:r>
        <w:rPr>
          <w:rFonts w:ascii="仿宋" w:hAnsi="仿宋" w:eastAsia="仿宋" w:cs="仿宋"/>
          <w:spacing w:val="-3"/>
          <w:position w:val="14"/>
          <w:sz w:val="32"/>
          <w:szCs w:val="32"/>
        </w:rPr>
        <w:t>育工作者(以下</w:t>
      </w:r>
    </w:p>
    <w:p>
      <w:pPr>
        <w:spacing w:before="2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统称“科技辅导员”)。</w:t>
      </w:r>
    </w:p>
    <w:p>
      <w:pPr>
        <w:spacing w:before="137" w:line="519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14"/>
          <w:sz w:val="32"/>
          <w:szCs w:val="32"/>
        </w:rPr>
        <w:t>2.</w:t>
      </w:r>
      <w:r>
        <w:rPr>
          <w:rFonts w:ascii="仿宋" w:hAnsi="仿宋" w:eastAsia="仿宋" w:cs="仿宋"/>
          <w:spacing w:val="-5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position w:val="14"/>
          <w:sz w:val="32"/>
          <w:szCs w:val="32"/>
        </w:rPr>
        <w:t>参加市级竞赛的科技辅导员须由基层赛事组织单位按规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定名额择优推荐。</w:t>
      </w:r>
    </w:p>
    <w:p>
      <w:pPr>
        <w:spacing w:before="163" w:line="223" w:lineRule="auto"/>
        <w:ind w:left="75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8"/>
          <w:sz w:val="32"/>
          <w:szCs w:val="32"/>
        </w:rPr>
        <w:t>(二)参赛作品</w:t>
      </w:r>
    </w:p>
    <w:p>
      <w:pPr>
        <w:spacing w:before="116" w:line="302" w:lineRule="auto"/>
        <w:ind w:right="35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1.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在同一届大赛中，每名参赛科技辅导员只能申报一项作</w:t>
      </w:r>
      <w:r>
        <w:rPr>
          <w:rFonts w:ascii="仿宋" w:hAnsi="仿宋" w:eastAsia="仿宋" w:cs="仿宋"/>
          <w:sz w:val="32"/>
          <w:szCs w:val="32"/>
        </w:rPr>
        <w:t xml:space="preserve"> 品，只接受个人作品申报。参赛作品须在大赛当年12月31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日前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18个月内完成。</w:t>
      </w:r>
    </w:p>
    <w:p>
      <w:pPr>
        <w:spacing w:before="151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2.</w:t>
      </w:r>
      <w:r>
        <w:rPr>
          <w:rFonts w:ascii="仿宋" w:hAnsi="仿宋" w:eastAsia="仿宋" w:cs="仿宋"/>
          <w:spacing w:val="-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作品分类</w:t>
      </w:r>
    </w:p>
    <w:p>
      <w:pPr>
        <w:spacing w:before="159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参赛作品分为科教制作类和科教方案类两类。</w:t>
      </w:r>
    </w:p>
    <w:p>
      <w:pPr>
        <w:spacing w:before="119" w:line="530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position w:val="15"/>
          <w:sz w:val="32"/>
          <w:szCs w:val="32"/>
        </w:rPr>
        <w:t>(1)科教制作类作品是由科技辅导员本人设计或改进的为</w:t>
      </w:r>
    </w:p>
    <w:p>
      <w:pPr>
        <w:spacing w:line="220" w:lineRule="auto"/>
        <w:sectPr>
          <w:footerReference r:id="rId5" w:type="default"/>
          <w:pgSz w:w="11900" w:h="16830"/>
          <w:pgMar w:top="1430" w:right="1490" w:bottom="1426" w:left="1640" w:header="0" w:footer="1161" w:gutter="0"/>
          <w:cols w:space="720" w:num="1"/>
        </w:sectPr>
      </w:pPr>
      <w:r>
        <w:rPr>
          <w:rFonts w:ascii="仿宋" w:hAnsi="仿宋" w:eastAsia="仿宋" w:cs="仿宋"/>
          <w:spacing w:val="-7"/>
          <w:sz w:val="32"/>
          <w:szCs w:val="32"/>
        </w:rPr>
        <w:t>科技教育教学服务的教具、仪器、设备等。作品按学科分为物理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101" w:line="541" w:lineRule="exac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16"/>
          <w:sz w:val="31"/>
          <w:szCs w:val="31"/>
        </w:rPr>
        <w:t>教学类、化学教学类、生物教学类、数学教学类、信息技术教学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类和其他。</w:t>
      </w:r>
    </w:p>
    <w:p>
      <w:pPr>
        <w:spacing w:before="145" w:line="524" w:lineRule="exact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15"/>
          <w:sz w:val="31"/>
          <w:szCs w:val="31"/>
        </w:rPr>
        <w:t>(2)科教方案类作品是由科技辅导员本人设计撰写的科技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教育活动或教学的预设方案，须是已开始实施或已实施完成。</w:t>
      </w:r>
    </w:p>
    <w:p>
      <w:pPr>
        <w:spacing w:before="153" w:line="220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3.</w:t>
      </w:r>
      <w:r>
        <w:rPr>
          <w:rFonts w:ascii="仿宋" w:hAnsi="仿宋" w:eastAsia="仿宋" w:cs="仿宋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不接受的作品申报</w:t>
      </w:r>
    </w:p>
    <w:p>
      <w:pPr>
        <w:spacing w:before="150" w:line="524" w:lineRule="exact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(1)作品内容或研究过程违反国家法律、法规和社会公德或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者妨害公共利益。</w:t>
      </w:r>
    </w:p>
    <w:p>
      <w:pPr>
        <w:spacing w:before="142" w:line="219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(2)作品存在抄袭或侵犯他人知识产权等学术不端</w:t>
      </w:r>
      <w:r>
        <w:rPr>
          <w:rFonts w:ascii="仿宋" w:hAnsi="仿宋" w:eastAsia="仿宋" w:cs="仿宋"/>
          <w:spacing w:val="6"/>
          <w:sz w:val="31"/>
          <w:szCs w:val="31"/>
        </w:rPr>
        <w:t>问题。</w:t>
      </w:r>
    </w:p>
    <w:p>
      <w:pPr>
        <w:spacing w:before="153" w:line="220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(3)涉及食品技术、药品类的作品。</w:t>
      </w:r>
    </w:p>
    <w:p>
      <w:pPr>
        <w:spacing w:before="162" w:line="227" w:lineRule="auto"/>
        <w:ind w:left="71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(三)申报材料</w:t>
      </w:r>
    </w:p>
    <w:p>
      <w:pPr>
        <w:spacing w:before="138" w:line="220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1.</w:t>
      </w:r>
      <w:r>
        <w:rPr>
          <w:rFonts w:ascii="仿宋" w:hAnsi="仿宋" w:eastAsia="仿宋" w:cs="仿宋"/>
          <w:spacing w:val="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申报表：完整填写当届大赛发布的申报表。</w:t>
      </w:r>
    </w:p>
    <w:p>
      <w:pPr>
        <w:spacing w:before="154" w:line="222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2.</w:t>
      </w:r>
      <w:r>
        <w:rPr>
          <w:rFonts w:ascii="仿宋" w:hAnsi="仿宋" w:eastAsia="仿宋" w:cs="仿宋"/>
          <w:spacing w:val="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书面报告：必须是独立于申报表之外的书面报告。</w:t>
      </w:r>
    </w:p>
    <w:p>
      <w:pPr>
        <w:spacing w:before="143" w:line="524" w:lineRule="exact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15"/>
          <w:sz w:val="31"/>
          <w:szCs w:val="31"/>
        </w:rPr>
        <w:t>科教制作类报告须包含以下内容的文字介绍，并附实物照</w:t>
      </w:r>
    </w:p>
    <w:p>
      <w:pPr>
        <w:spacing w:line="222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片或设计图等：</w:t>
      </w:r>
    </w:p>
    <w:p>
      <w:pPr>
        <w:spacing w:before="154" w:line="220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(1)作品的教学用途与应用场景。</w:t>
      </w:r>
    </w:p>
    <w:p>
      <w:pPr>
        <w:spacing w:before="150" w:line="220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(2)作品的科学原理和应用方法。</w:t>
      </w:r>
    </w:p>
    <w:p>
      <w:pPr>
        <w:spacing w:before="151" w:line="220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(3)作品的改进点或创新点。</w:t>
      </w:r>
    </w:p>
    <w:p>
      <w:pPr>
        <w:spacing w:before="150" w:line="220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(4)作品的其他介绍。</w:t>
      </w:r>
    </w:p>
    <w:p>
      <w:pPr>
        <w:spacing w:before="175" w:line="222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科教方案类报告须包含以下内容的文字介绍：</w:t>
      </w:r>
    </w:p>
    <w:p>
      <w:pPr>
        <w:spacing w:before="135" w:line="222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(1)方案的背景(需求分析)与目标。</w:t>
      </w:r>
    </w:p>
    <w:p>
      <w:pPr>
        <w:spacing w:before="149" w:line="222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(2)方案所涉及的对象、人数。</w:t>
      </w:r>
    </w:p>
    <w:p>
      <w:pPr>
        <w:spacing w:before="148" w:line="222" w:lineRule="auto"/>
        <w:ind w:left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(3)方案的主体部分：</w:t>
      </w:r>
    </w:p>
    <w:p>
      <w:pPr>
        <w:spacing w:before="151" w:line="535" w:lineRule="exact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6"/>
          <w:sz w:val="31"/>
          <w:szCs w:val="31"/>
        </w:rPr>
        <w:t>a.</w:t>
      </w:r>
      <w:r>
        <w:rPr>
          <w:rFonts w:ascii="仿宋" w:hAnsi="仿宋" w:eastAsia="仿宋" w:cs="仿宋"/>
          <w:spacing w:val="28"/>
          <w:position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16"/>
          <w:sz w:val="31"/>
          <w:szCs w:val="31"/>
        </w:rPr>
        <w:t>活动内容、过程和步骤</w:t>
      </w:r>
    </w:p>
    <w:p>
      <w:pPr>
        <w:spacing w:before="1" w:line="222" w:lineRule="auto"/>
        <w:ind w:left="5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b.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难点、重点、创新点</w:t>
      </w:r>
    </w:p>
    <w:p>
      <w:pPr>
        <w:spacing w:before="153" w:line="220" w:lineRule="auto"/>
        <w:ind w:left="570"/>
        <w:sectPr>
          <w:footerReference r:id="rId6" w:type="default"/>
          <w:pgSz w:w="11900" w:h="16830"/>
          <w:pgMar w:top="1430" w:right="1502" w:bottom="1468" w:left="1680" w:header="0" w:footer="1159" w:gutter="0"/>
          <w:cols w:space="720" w:num="1"/>
        </w:sectPr>
      </w:pPr>
      <w:r>
        <w:rPr>
          <w:rFonts w:ascii="仿宋" w:hAnsi="仿宋" w:eastAsia="仿宋" w:cs="仿宋"/>
          <w:spacing w:val="14"/>
          <w:sz w:val="31"/>
          <w:szCs w:val="31"/>
        </w:rPr>
        <w:t>c.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利用的各类科技教育资源(场所、资料、</w:t>
      </w:r>
      <w:r>
        <w:rPr>
          <w:rFonts w:ascii="仿宋" w:hAnsi="仿宋" w:eastAsia="仿宋" w:cs="仿宋"/>
          <w:spacing w:val="13"/>
          <w:sz w:val="31"/>
          <w:szCs w:val="31"/>
        </w:rPr>
        <w:t>器材等)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104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d.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活动中可能出现的问题及解决预案</w:t>
      </w:r>
    </w:p>
    <w:p>
      <w:pPr>
        <w:spacing w:before="137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e.</w:t>
      </w:r>
      <w:r>
        <w:rPr>
          <w:rFonts w:ascii="仿宋" w:hAnsi="仿宋" w:eastAsia="仿宋" w:cs="仿宋"/>
          <w:spacing w:val="-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预期效果与呈现方式</w:t>
      </w:r>
    </w:p>
    <w:p>
      <w:pPr>
        <w:spacing w:before="135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f.</w:t>
      </w:r>
      <w:r>
        <w:rPr>
          <w:rFonts w:ascii="仿宋" w:hAnsi="仿宋" w:eastAsia="仿宋" w:cs="仿宋"/>
          <w:spacing w:val="-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效果的评价标准与方式</w:t>
      </w:r>
    </w:p>
    <w:p>
      <w:pPr>
        <w:spacing w:before="141" w:line="220" w:lineRule="auto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(4)活动已开始实施或已实施完成的证明材料。</w:t>
      </w:r>
    </w:p>
    <w:p>
      <w:pPr>
        <w:spacing w:before="131" w:line="546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position w:val="16"/>
          <w:sz w:val="32"/>
          <w:szCs w:val="32"/>
        </w:rPr>
        <w:t>3.</w:t>
      </w:r>
      <w:r>
        <w:rPr>
          <w:rFonts w:ascii="仿宋" w:hAnsi="仿宋" w:eastAsia="仿宋" w:cs="仿宋"/>
          <w:spacing w:val="-12"/>
          <w:position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position w:val="16"/>
          <w:sz w:val="32"/>
          <w:szCs w:val="32"/>
        </w:rPr>
        <w:t>诚信承诺书：申报者须签订科研诚信承诺书，承诺研究过</w:t>
      </w:r>
    </w:p>
    <w:p>
      <w:pPr>
        <w:spacing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程和成果取得符合科研诚信和学术规范，并在指定位置签字确认。</w:t>
      </w:r>
    </w:p>
    <w:p>
      <w:pPr>
        <w:spacing w:before="130" w:line="222" w:lineRule="auto"/>
        <w:ind w:left="624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8"/>
          <w:sz w:val="32"/>
          <w:szCs w:val="32"/>
        </w:rPr>
        <w:t>二、</w:t>
      </w:r>
      <w:r>
        <w:rPr>
          <w:rFonts w:ascii="黑体" w:hAnsi="黑体" w:eastAsia="黑体" w:cs="黑体"/>
          <w:spacing w:val="-88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28"/>
          <w:sz w:val="32"/>
          <w:szCs w:val="32"/>
        </w:rPr>
        <w:t>评审</w:t>
      </w:r>
    </w:p>
    <w:p>
      <w:pPr>
        <w:spacing w:before="140" w:line="223" w:lineRule="auto"/>
        <w:ind w:left="75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9"/>
          <w:sz w:val="32"/>
          <w:szCs w:val="32"/>
        </w:rPr>
        <w:t>(一)评审标准</w:t>
      </w:r>
    </w:p>
    <w:p>
      <w:pPr>
        <w:spacing w:before="139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1.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科教制作类</w:t>
      </w:r>
    </w:p>
    <w:p>
      <w:pPr>
        <w:spacing w:before="139" w:line="521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position w:val="14"/>
          <w:sz w:val="32"/>
          <w:szCs w:val="32"/>
        </w:rPr>
        <w:t>(1)思想性：作品及研制作品的过程体现出正确的价值观，</w:t>
      </w:r>
    </w:p>
    <w:p>
      <w:pPr>
        <w:spacing w:before="2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遵守学术道德规范，符合科学伦理。</w:t>
      </w:r>
    </w:p>
    <w:p>
      <w:pPr>
        <w:spacing w:before="136" w:line="518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(2)科学性：作品以先进的科学理论或事实作依据，研究方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法正确，研制过程符合逻辑，比现有成品更趋合理。</w:t>
      </w:r>
    </w:p>
    <w:p>
      <w:pPr>
        <w:spacing w:before="141" w:line="301" w:lineRule="auto"/>
        <w:ind w:firstLine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(3)创新性：解决了前人没有解决或没有完全解决的问题，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与现有成品相比，或方法不同，或路线不同，在</w:t>
      </w:r>
      <w:r>
        <w:rPr>
          <w:rFonts w:ascii="仿宋" w:hAnsi="仿宋" w:eastAsia="仿宋" w:cs="仿宋"/>
          <w:spacing w:val="-9"/>
          <w:sz w:val="32"/>
          <w:szCs w:val="32"/>
        </w:rPr>
        <w:t>材料、工艺、手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段等方面有显著进步。</w:t>
      </w:r>
    </w:p>
    <w:p>
      <w:pPr>
        <w:spacing w:before="130" w:line="301" w:lineRule="auto"/>
        <w:ind w:right="109" w:firstLine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(4)实用性：与社会生产生活密切相关，有社会、经济效益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或教育教学效果，在对青少年进行科学教育方面有显著进步，具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有推广前景。</w:t>
      </w:r>
    </w:p>
    <w:p>
      <w:pPr>
        <w:spacing w:before="158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2.</w:t>
      </w:r>
      <w:r>
        <w:rPr>
          <w:rFonts w:ascii="仿宋" w:hAnsi="仿宋" w:eastAsia="仿宋" w:cs="仿宋"/>
          <w:spacing w:val="-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科教方案类</w:t>
      </w:r>
    </w:p>
    <w:p>
      <w:pPr>
        <w:spacing w:before="131" w:line="301" w:lineRule="auto"/>
        <w:ind w:right="86" w:firstLine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(1)科学性：方案所述概念和原理不违背自然科学、社</w:t>
      </w:r>
      <w:r>
        <w:rPr>
          <w:rFonts w:ascii="仿宋" w:hAnsi="仿宋" w:eastAsia="仿宋" w:cs="仿宋"/>
          <w:spacing w:val="-6"/>
          <w:sz w:val="32"/>
          <w:szCs w:val="32"/>
        </w:rPr>
        <w:t>会科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学、思维科学、数学、技术和工程学等所涵盖的基本规律；符合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科技教育活动的基本规律。</w:t>
      </w:r>
    </w:p>
    <w:p>
      <w:pPr>
        <w:spacing w:before="131" w:line="523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position w:val="14"/>
          <w:sz w:val="32"/>
          <w:szCs w:val="32"/>
        </w:rPr>
        <w:t>(2)教育性：方案的活动目标明确，并与实现方</w:t>
      </w: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法和手段相</w:t>
      </w:r>
    </w:p>
    <w:p>
      <w:pPr>
        <w:spacing w:before="1" w:line="221" w:lineRule="auto"/>
        <w:sectPr>
          <w:footerReference r:id="rId7" w:type="default"/>
          <w:pgSz w:w="11900" w:h="16830"/>
          <w:pgMar w:top="1430" w:right="1380" w:bottom="1430" w:left="1660" w:header="0" w:footer="1161" w:gutter="0"/>
          <w:cols w:space="720" w:num="1"/>
        </w:sectPr>
      </w:pPr>
      <w:r>
        <w:rPr>
          <w:rFonts w:ascii="仿宋" w:hAnsi="仿宋" w:eastAsia="仿宋" w:cs="仿宋"/>
          <w:spacing w:val="-8"/>
          <w:sz w:val="32"/>
          <w:szCs w:val="32"/>
        </w:rPr>
        <w:t>匹配；能激发青少年的科学兴趣、促进青少年主动学习，有</w:t>
      </w:r>
      <w:r>
        <w:rPr>
          <w:rFonts w:ascii="仿宋" w:hAnsi="仿宋" w:eastAsia="仿宋" w:cs="仿宋"/>
          <w:spacing w:val="-9"/>
          <w:sz w:val="32"/>
          <w:szCs w:val="32"/>
        </w:rPr>
        <w:t>利于</w:t>
      </w:r>
    </w:p>
    <w:p>
      <w:pPr>
        <w:spacing w:line="250" w:lineRule="auto"/>
        <w:rPr>
          <w:rFonts w:ascii="Arial"/>
          <w:sz w:val="21"/>
        </w:rPr>
      </w:pPr>
    </w:p>
    <w:p>
      <w:pPr>
        <w:spacing w:before="104" w:line="306" w:lineRule="auto"/>
        <w:ind w:right="156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青少年体验和理解科学、培养科学精神和创新能力；能让青少年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有较大的思考和实践空间、经历科学探究的完整过程，能启发青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少年对科技发展与人类生活、社会发展关系的思考。</w:t>
      </w:r>
    </w:p>
    <w:p>
      <w:pPr>
        <w:spacing w:before="121" w:line="301" w:lineRule="auto"/>
        <w:ind w:right="123" w:firstLine="7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(3)创新性：方案体现先进的科技教育理念；内容、过程或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方法设计有创意；教学或活动构思新颖、巧妙、独特；善于运用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新技术手段。</w:t>
      </w:r>
    </w:p>
    <w:p>
      <w:pPr>
        <w:spacing w:before="129" w:line="300" w:lineRule="auto"/>
        <w:ind w:right="19" w:firstLine="7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(4)可行性：符合方案所覆盖对象的知识、能力和认知水平；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具备方案实施的必备条件；符合当地科技、教育、经</w:t>
      </w:r>
      <w:r>
        <w:rPr>
          <w:rFonts w:ascii="仿宋" w:hAnsi="仿宋" w:eastAsia="仿宋" w:cs="仿宋"/>
          <w:spacing w:val="-10"/>
          <w:sz w:val="32"/>
          <w:szCs w:val="32"/>
        </w:rPr>
        <w:t>济和社会发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展水平，便于在科技教育教学活动中实施；不增加青少年的负担。</w:t>
      </w:r>
    </w:p>
    <w:p>
      <w:pPr>
        <w:spacing w:before="140" w:line="302" w:lineRule="auto"/>
        <w:ind w:right="120" w:firstLine="7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(5)示范性：具有鲜明的时代特征，能体现当代科技发展</w:t>
      </w:r>
      <w:r>
        <w:rPr>
          <w:rFonts w:ascii="仿宋" w:hAnsi="仿宋" w:eastAsia="仿宋" w:cs="仿宋"/>
          <w:spacing w:val="-8"/>
          <w:sz w:val="32"/>
          <w:szCs w:val="32"/>
        </w:rPr>
        <w:t>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向和科技教育诉求；着重解决青少年现实生活中所面临的具体问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题，便于推广普及；方案写作规范，逻辑清晰，</w:t>
      </w:r>
      <w:r>
        <w:rPr>
          <w:rFonts w:ascii="仿宋" w:hAnsi="仿宋" w:eastAsia="仿宋" w:cs="仿宋"/>
          <w:spacing w:val="-9"/>
          <w:sz w:val="32"/>
          <w:szCs w:val="32"/>
        </w:rPr>
        <w:t>重点难点表述清</w:t>
      </w:r>
    </w:p>
    <w:p>
      <w:pPr>
        <w:spacing w:before="2" w:line="225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楚。</w:t>
      </w:r>
    </w:p>
    <w:p>
      <w:pPr>
        <w:spacing w:before="117" w:line="521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14"/>
          <w:sz w:val="32"/>
          <w:szCs w:val="32"/>
        </w:rPr>
        <w:t>(6)完整性：活动过程连续、完整；实施步骤、阶段清晰、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明确；对实施过程中可能出现的困难及问题有预估和解决措施。</w:t>
      </w:r>
    </w:p>
    <w:p>
      <w:pPr>
        <w:spacing w:before="163" w:line="223" w:lineRule="auto"/>
        <w:ind w:left="74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7"/>
          <w:sz w:val="32"/>
          <w:szCs w:val="32"/>
        </w:rPr>
        <w:t>(二)评审程序</w:t>
      </w:r>
    </w:p>
    <w:p>
      <w:pPr>
        <w:spacing w:before="144" w:line="222" w:lineRule="auto"/>
        <w:ind w:left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1.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资格审查</w:t>
      </w:r>
    </w:p>
    <w:p>
      <w:pPr>
        <w:spacing w:before="145" w:line="222" w:lineRule="auto"/>
        <w:ind w:left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包括形式审查和学术审查两部分。</w:t>
      </w:r>
    </w:p>
    <w:p>
      <w:pPr>
        <w:spacing w:before="129" w:line="520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4"/>
          <w:sz w:val="32"/>
          <w:szCs w:val="32"/>
        </w:rPr>
        <w:t>(1)形式审查：如发现申报材料存在问题或缺失，申报者可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在大赛规定的修改时间内对审报材料进行修改和补充。</w:t>
      </w:r>
    </w:p>
    <w:p>
      <w:pPr>
        <w:spacing w:before="140" w:line="524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14"/>
          <w:sz w:val="32"/>
          <w:szCs w:val="32"/>
        </w:rPr>
        <w:t>(2)学术审查：如发现参赛者存在违反科研诚信和行为规范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问题，市赛组织方将取消相关人员参赛资格。</w:t>
      </w:r>
    </w:p>
    <w:p>
      <w:pPr>
        <w:spacing w:before="127" w:line="222" w:lineRule="auto"/>
        <w:ind w:left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2.</w:t>
      </w:r>
      <w:r>
        <w:rPr>
          <w:rFonts w:ascii="仿宋" w:hAnsi="仿宋" w:eastAsia="仿宋" w:cs="仿宋"/>
          <w:spacing w:val="-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初评</w:t>
      </w:r>
    </w:p>
    <w:p>
      <w:pPr>
        <w:spacing w:before="151" w:line="521" w:lineRule="exact"/>
        <w:ind w:left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4"/>
          <w:sz w:val="32"/>
          <w:szCs w:val="32"/>
        </w:rPr>
        <w:t>通过资格审查的作品进入初评。初评为网络评审，由评审专</w:t>
      </w:r>
    </w:p>
    <w:p>
      <w:pPr>
        <w:spacing w:before="2" w:line="220" w:lineRule="auto"/>
        <w:sectPr>
          <w:footerReference r:id="rId8" w:type="default"/>
          <w:pgSz w:w="11900" w:h="16830"/>
          <w:pgMar w:top="1430" w:right="1380" w:bottom="1470" w:left="1670" w:header="0" w:footer="1201" w:gutter="0"/>
          <w:cols w:space="720" w:num="1"/>
        </w:sectPr>
      </w:pPr>
      <w:r>
        <w:rPr>
          <w:rFonts w:ascii="仿宋" w:hAnsi="仿宋" w:eastAsia="仿宋" w:cs="仿宋"/>
          <w:spacing w:val="-12"/>
          <w:sz w:val="32"/>
          <w:szCs w:val="32"/>
        </w:rPr>
        <w:t>家组负责确定入围终评的参赛者名单。</w:t>
      </w:r>
      <w:bookmarkStart w:id="0" w:name="_GoBack"/>
      <w:bookmarkEnd w:id="0"/>
    </w:p>
    <w:p>
      <w:pPr>
        <w:spacing w:line="274" w:lineRule="auto"/>
        <w:rPr>
          <w:rFonts w:ascii="Arial"/>
          <w:sz w:val="21"/>
        </w:rPr>
      </w:pPr>
    </w:p>
    <w:p>
      <w:pPr>
        <w:spacing w:before="104" w:line="222" w:lineRule="auto"/>
        <w:ind w:left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终评</w:t>
      </w:r>
    </w:p>
    <w:p>
      <w:pPr>
        <w:spacing w:before="136" w:line="305" w:lineRule="auto"/>
        <w:ind w:right="30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评审专家组采取现场问辩的形式确定奖项。入围终评</w:t>
      </w:r>
      <w:r>
        <w:rPr>
          <w:rFonts w:ascii="仿宋" w:hAnsi="仿宋" w:eastAsia="仿宋" w:cs="仿宋"/>
          <w:spacing w:val="-9"/>
          <w:sz w:val="32"/>
          <w:szCs w:val="32"/>
        </w:rPr>
        <w:t>的参赛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者须由本人参加终评现场问辩活动。因故不能参加现场问辩活动，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视为自动放弃参赛资格，由此产生的名额空缺，不予递补。</w:t>
      </w:r>
    </w:p>
    <w:p>
      <w:pPr>
        <w:spacing w:before="135" w:line="222" w:lineRule="auto"/>
        <w:ind w:left="634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5"/>
          <w:sz w:val="32"/>
          <w:szCs w:val="32"/>
        </w:rPr>
        <w:t>三、</w:t>
      </w:r>
      <w:r>
        <w:rPr>
          <w:rFonts w:ascii="黑体" w:hAnsi="黑体" w:eastAsia="黑体" w:cs="黑体"/>
          <w:spacing w:val="-85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25"/>
          <w:sz w:val="32"/>
          <w:szCs w:val="32"/>
        </w:rPr>
        <w:t>表彰奖励</w:t>
      </w:r>
    </w:p>
    <w:p>
      <w:pPr>
        <w:spacing w:before="122" w:line="307" w:lineRule="auto"/>
        <w:ind w:right="120" w:firstLine="63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科技辅导员科技教育创新成果设一、二、三等奖，各</w:t>
      </w:r>
      <w:r>
        <w:rPr>
          <w:rFonts w:ascii="仿宋" w:hAnsi="仿宋" w:eastAsia="仿宋" w:cs="仿宋"/>
          <w:spacing w:val="-9"/>
          <w:sz w:val="32"/>
          <w:szCs w:val="32"/>
        </w:rPr>
        <w:t>等次奖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的获奖比例约为2:5:3。市赛组织方将择</w:t>
      </w:r>
      <w:r>
        <w:rPr>
          <w:rFonts w:ascii="仿宋" w:hAnsi="仿宋" w:eastAsia="仿宋" w:cs="仿宋"/>
          <w:spacing w:val="8"/>
          <w:sz w:val="32"/>
          <w:szCs w:val="32"/>
        </w:rPr>
        <w:t>优推荐获奖选手参加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江苏省青少年科技创新大赛。</w:t>
      </w:r>
    </w:p>
    <w:p>
      <w:pPr>
        <w:spacing w:before="113" w:line="223" w:lineRule="auto"/>
        <w:ind w:left="634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1"/>
          <w:sz w:val="32"/>
          <w:szCs w:val="32"/>
        </w:rPr>
        <w:t>四、</w:t>
      </w:r>
      <w:r>
        <w:rPr>
          <w:rFonts w:ascii="黑体" w:hAnsi="黑体" w:eastAsia="黑体" w:cs="黑体"/>
          <w:spacing w:val="-82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2"/>
          <w:szCs w:val="32"/>
        </w:rPr>
        <w:t>违规处理</w:t>
      </w:r>
    </w:p>
    <w:p>
      <w:pPr>
        <w:spacing w:before="141" w:line="300" w:lineRule="auto"/>
        <w:ind w:right="29" w:firstLine="75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(一)申报、审查和初评阶段，如出现对参赛作品的投诉且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经调查发现参赛作品存在抄袭、违反科学道德和科研规范等问题，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经评审专家组判定，将取消作者参赛资格。</w:t>
      </w:r>
    </w:p>
    <w:p>
      <w:pPr>
        <w:spacing w:before="136" w:line="301" w:lineRule="auto"/>
        <w:ind w:firstLine="75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(二)终评阶段，如发现参赛作品存在抄袭等违反规则情况，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将取消作者获奖资格；如在终评评奖比例内，作品实际水平或</w:t>
      </w:r>
      <w:r>
        <w:rPr>
          <w:rFonts w:ascii="仿宋" w:hAnsi="仿宋" w:eastAsia="仿宋" w:cs="仿宋"/>
          <w:spacing w:val="-9"/>
          <w:sz w:val="32"/>
          <w:szCs w:val="32"/>
        </w:rPr>
        <w:t>作</w:t>
      </w:r>
    </w:p>
    <w:p>
      <w:pPr>
        <w:spacing w:before="2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者答辩情况不符合获奖标准，经评审专家组表决，可不授予奖项。</w:t>
      </w:r>
    </w:p>
    <w:p>
      <w:pPr>
        <w:spacing w:before="136" w:line="300" w:lineRule="auto"/>
        <w:ind w:right="136" w:firstLine="75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(三)获奖名单将进行公示，任何单位或个人如有异议，</w:t>
      </w:r>
      <w:r>
        <w:rPr>
          <w:rFonts w:ascii="仿宋" w:hAnsi="仿宋" w:eastAsia="仿宋" w:cs="仿宋"/>
          <w:spacing w:val="-2"/>
          <w:sz w:val="32"/>
          <w:szCs w:val="32"/>
        </w:rPr>
        <w:t>可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实名投诉，并提供相关证据及联系方式。市赛组织方将组织开展</w:t>
      </w:r>
    </w:p>
    <w:p>
      <w:r>
        <w:rPr>
          <w:rFonts w:ascii="仿宋" w:hAnsi="仿宋" w:eastAsia="仿宋" w:cs="仿宋"/>
          <w:spacing w:val="-10"/>
          <w:sz w:val="32"/>
          <w:szCs w:val="32"/>
        </w:rPr>
        <w:t>调查，并根据评审专家组的意见进行处理。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299"/>
      <w:rPr>
        <w:rFonts w:ascii="仿宋" w:hAnsi="仿宋" w:eastAsia="仿宋" w:cs="仿宋"/>
        <w:sz w:val="27"/>
        <w:szCs w:val="27"/>
      </w:rPr>
    </w:pPr>
    <w:r>
      <w:rPr>
        <w:rFonts w:ascii="仿宋" w:hAnsi="仿宋" w:eastAsia="仿宋" w:cs="仿宋"/>
        <w:spacing w:val="-7"/>
        <w:sz w:val="27"/>
        <w:szCs w:val="27"/>
      </w:rPr>
      <w:t>—12—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right="285"/>
      <w:jc w:val="right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23"/>
        <w:sz w:val="31"/>
        <w:szCs w:val="31"/>
      </w:rPr>
      <w:t>—</w:t>
    </w:r>
    <w:r>
      <w:rPr>
        <w:rFonts w:ascii="宋体" w:hAnsi="宋体" w:eastAsia="宋体" w:cs="宋体"/>
        <w:spacing w:val="-122"/>
        <w:sz w:val="31"/>
        <w:szCs w:val="31"/>
      </w:rPr>
      <w:t xml:space="preserve"> </w:t>
    </w:r>
    <w:r>
      <w:rPr>
        <w:rFonts w:ascii="宋体" w:hAnsi="宋体" w:eastAsia="宋体" w:cs="宋体"/>
        <w:spacing w:val="-23"/>
        <w:sz w:val="31"/>
        <w:szCs w:val="31"/>
      </w:rPr>
      <w:t>13—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30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10"/>
        <w:sz w:val="27"/>
        <w:szCs w:val="27"/>
      </w:rPr>
      <w:t>—</w:t>
    </w:r>
    <w:r>
      <w:rPr>
        <w:rFonts w:ascii="宋体" w:hAnsi="宋体" w:eastAsia="宋体" w:cs="宋体"/>
        <w:spacing w:val="-105"/>
        <w:sz w:val="27"/>
        <w:szCs w:val="27"/>
      </w:rPr>
      <w:t xml:space="preserve"> </w:t>
    </w:r>
    <w:r>
      <w:rPr>
        <w:rFonts w:ascii="宋体" w:hAnsi="宋体" w:eastAsia="宋体" w:cs="宋体"/>
        <w:spacing w:val="-10"/>
        <w:sz w:val="27"/>
        <w:szCs w:val="27"/>
      </w:rPr>
      <w:t>14—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758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14"/>
        <w:sz w:val="27"/>
        <w:szCs w:val="27"/>
      </w:rPr>
      <w:t>—</w:t>
    </w:r>
    <w:r>
      <w:rPr>
        <w:rFonts w:ascii="宋体" w:hAnsi="宋体" w:eastAsia="宋体" w:cs="宋体"/>
        <w:spacing w:val="-105"/>
        <w:sz w:val="27"/>
        <w:szCs w:val="27"/>
      </w:rPr>
      <w:t xml:space="preserve"> </w:t>
    </w:r>
    <w:r>
      <w:rPr>
        <w:rFonts w:ascii="宋体" w:hAnsi="宋体" w:eastAsia="宋体" w:cs="宋体"/>
        <w:spacing w:val="-14"/>
        <w:sz w:val="27"/>
        <w:szCs w:val="27"/>
      </w:rPr>
      <w:t>15—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1CDF4613"/>
    <w:rsid w:val="1CD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2023-09-06T07:03:00Z</dcterms:created>
  <dc:creator>hp</dc:creator>
  <cp:lastModifiedBy>hp</cp:lastModifiedBy>
  <dcterms:modified xsi:type="dcterms:W3CDTF">2023-09-06T07:06:41Z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9752DF3D656C45BAB2D718F37E6CEDB6_11</vt:lpwstr>
  </property>
</Properties>
</file>